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 **Initial Planning (Week 1)**: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- Identify a potential meeting location and secure it.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- Determine a suitable meeting time that accommodates members' schedules.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- Create a list of potential club members within your network.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**Recruitment (Week 2 - 4)**: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- Start recruiting members actively. Aim for a minimum of 20 prospective members. Target 25-30.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- Utilize social media, personal networks, and local community groups to spread the word.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- Highlight the benefits of joining Toastmasters, such as improving communication and leadership skills.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 **Club Formation (Week 5 - 6)**: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- Conduct an initial informational meeting to introduce potential members to Toastmasters.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- Explain the club's purpose, structure, and how meetings will be conducted.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- Encourage interested individuals to sign up and become charter members.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4. **Leadership Team (Week 6 - 7)**: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- Appoint club officers, including a President, Vice President Education, Vice President Membership, Vice President Public Relations, Treasurer, and Secretary.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  - Ensure officers understand their roles and responsibilities.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5. **Club Charter (Week 7)**: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- Complete the necessary paperwork to charter the club with Toastmasters International.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- Submit the Charter Application, Club Constitution, and a list of charter members.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- Pay the required fees for chartering the club.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6. **Inaugural Meeting (Week 8)**: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- Hold the club's first official meeting with charter members.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- Conduct a demonstration meeting to introduce Toastmasters practices.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- Elect club officers if not done earlier.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- Begin regular club meetings and continue recruiting new members.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7. **Ongoing Growth (Beyond Week 8)**: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- Continuously promote the club within the community.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- Encourage members to invite guests to meetings to expand membership.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- Focus on providing valuable educational experiences and a supportive environment to retain and attract members.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Remember that building a successful Toastmasters club takes time and effort, but with dedication and a committed team, it's possible to establish a thriving club in 8 weeks or less. Utilize Toastmasters resources and support to ensure the club's long-term success.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